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658" w:rsidRDefault="00BF6658" w:rsidP="00BF6658">
      <w:pPr>
        <w:framePr w:h="0" w:hSpace="180" w:wrap="around" w:vAnchor="text" w:hAnchor="page" w:x="9505" w:y="1"/>
        <w:shd w:val="pct5" w:color="auto" w:fill="auto"/>
        <w:rPr>
          <w:rFonts w:ascii="Arial" w:hAnsi="Arial"/>
        </w:rPr>
      </w:pPr>
      <w:r>
        <w:rPr>
          <w:rFonts w:ascii="Arial" w:hAnsi="Arial"/>
          <w:noProof/>
        </w:rPr>
        <w:drawing>
          <wp:inline distT="0" distB="0" distL="0" distR="0">
            <wp:extent cx="1171575" cy="9715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971550"/>
                    </a:xfrm>
                    <a:prstGeom prst="rect">
                      <a:avLst/>
                    </a:prstGeom>
                    <a:noFill/>
                    <a:ln>
                      <a:noFill/>
                    </a:ln>
                  </pic:spPr>
                </pic:pic>
              </a:graphicData>
            </a:graphic>
          </wp:inline>
        </w:drawing>
      </w:r>
    </w:p>
    <w:p w:rsidR="00BF6658" w:rsidRDefault="00BF6658" w:rsidP="00BF6658">
      <w:pPr>
        <w:pStyle w:val="Kop1"/>
      </w:pPr>
      <w:r>
        <w:t>INFO OVER BEKERCOMPETITIE 201</w:t>
      </w:r>
      <w:r>
        <w:t>9</w:t>
      </w:r>
    </w:p>
    <w:p w:rsidR="00BF6658" w:rsidRDefault="00BF6658" w:rsidP="00BF6658">
      <w:pPr>
        <w:rPr>
          <w:b/>
          <w:sz w:val="32"/>
          <w:u w:val="single"/>
        </w:rPr>
      </w:pPr>
    </w:p>
    <w:p w:rsidR="00BF6658" w:rsidRDefault="00BF6658" w:rsidP="00BF6658">
      <w:pPr>
        <w:rPr>
          <w:sz w:val="23"/>
        </w:rPr>
      </w:pPr>
      <w:r>
        <w:rPr>
          <w:sz w:val="23"/>
        </w:rPr>
        <w:t>VTV wil ook in 201</w:t>
      </w:r>
      <w:r>
        <w:rPr>
          <w:sz w:val="23"/>
        </w:rPr>
        <w:t>9</w:t>
      </w:r>
      <w:r>
        <w:rPr>
          <w:sz w:val="23"/>
        </w:rPr>
        <w:t xml:space="preserve"> met zoveel mogelijk teams aan de bekercompetitie deelnemen. Deze bekercompetitie is een leuke aanvulling op het tafeltennisseizoen want de reguliere afdelingscompetitie eindigt al in april. De bekercompetitie van de afdeling Midden start vanaf de week van </w:t>
      </w:r>
      <w:r w:rsidR="00935BAB">
        <w:rPr>
          <w:sz w:val="23"/>
        </w:rPr>
        <w:t xml:space="preserve">6 </w:t>
      </w:r>
      <w:r>
        <w:rPr>
          <w:sz w:val="23"/>
        </w:rPr>
        <w:t>mei.</w:t>
      </w:r>
    </w:p>
    <w:p w:rsidR="00BF6658" w:rsidRDefault="00BF6658" w:rsidP="00BF6658">
      <w:pPr>
        <w:rPr>
          <w:sz w:val="23"/>
        </w:rPr>
      </w:pPr>
    </w:p>
    <w:p w:rsidR="00BF6658" w:rsidRDefault="00BF6658" w:rsidP="00BF6658">
      <w:pPr>
        <w:rPr>
          <w:sz w:val="23"/>
        </w:rPr>
      </w:pPr>
      <w:r>
        <w:rPr>
          <w:sz w:val="23"/>
        </w:rPr>
        <w:t>De bekerteams worden in eerste instantie ingedeeld in poules van 4. Deze teams spelen een halve competitie tegen elkaar. De nummers 1 en 2 gaan door naar de volgende ronde. Vanaf deze ronde is er sprake van een knock-outsysteem, d.w.z. de winnaar bekert verder, de verliezer valt af. De uiteindelijke finale wordt eind juni gespeeld.</w:t>
      </w:r>
    </w:p>
    <w:p w:rsidR="00BF6658" w:rsidRDefault="00BF6658" w:rsidP="00BF6658">
      <w:pPr>
        <w:rPr>
          <w:sz w:val="23"/>
        </w:rPr>
      </w:pPr>
    </w:p>
    <w:p w:rsidR="00BF6658" w:rsidRDefault="00BF6658" w:rsidP="00BF6658">
      <w:pPr>
        <w:rPr>
          <w:sz w:val="23"/>
        </w:rPr>
      </w:pPr>
      <w:r>
        <w:rPr>
          <w:sz w:val="23"/>
        </w:rPr>
        <w:t>Een bekerwedstrijd wordt gespeeld met 4 tegen 4 spelers/</w:t>
      </w:r>
      <w:proofErr w:type="spellStart"/>
      <w:r>
        <w:rPr>
          <w:sz w:val="23"/>
        </w:rPr>
        <w:t>sters</w:t>
      </w:r>
      <w:proofErr w:type="spellEnd"/>
      <w:r>
        <w:rPr>
          <w:sz w:val="23"/>
        </w:rPr>
        <w:t>. Een team moet bij voorkeur uit tenminste zes spelers/</w:t>
      </w:r>
      <w:proofErr w:type="spellStart"/>
      <w:r>
        <w:rPr>
          <w:sz w:val="23"/>
        </w:rPr>
        <w:t>sters</w:t>
      </w:r>
      <w:proofErr w:type="spellEnd"/>
      <w:r>
        <w:rPr>
          <w:sz w:val="23"/>
        </w:rPr>
        <w:t xml:space="preserve"> bestaan om zodoende steeds met vier spelers/</w:t>
      </w:r>
      <w:proofErr w:type="spellStart"/>
      <w:r>
        <w:rPr>
          <w:sz w:val="23"/>
        </w:rPr>
        <w:t>sters</w:t>
      </w:r>
      <w:proofErr w:type="spellEnd"/>
      <w:r>
        <w:rPr>
          <w:sz w:val="23"/>
        </w:rPr>
        <w:t xml:space="preserve"> uit te kunnen komen en niet veelvuldig afhankelijk te zijn van invallers. Er wordt gespeeld tot 21 punten in “best of </w:t>
      </w:r>
      <w:proofErr w:type="spellStart"/>
      <w:r>
        <w:rPr>
          <w:sz w:val="23"/>
        </w:rPr>
        <w:t>three</w:t>
      </w:r>
      <w:proofErr w:type="spellEnd"/>
      <w:r>
        <w:rPr>
          <w:sz w:val="23"/>
        </w:rPr>
        <w:t>”. Iedere speler/ster die aan de bekercompetitie deelneemt, heeft een zgn. “rating”. Hierdoor is het mogelijk dat bijvoorbeeld een speler/ster uit de 6</w:t>
      </w:r>
      <w:r>
        <w:rPr>
          <w:sz w:val="23"/>
          <w:vertAlign w:val="superscript"/>
        </w:rPr>
        <w:t>e</w:t>
      </w:r>
      <w:r>
        <w:rPr>
          <w:sz w:val="23"/>
        </w:rPr>
        <w:t xml:space="preserve"> klasse tegen een landelijke speler/ster moet spelen maar dan aan zijn/haar wedstrijd, afhankelijk van </w:t>
      </w:r>
      <w:smartTag w:uri="urn:schemas-microsoft-com:office:smarttags" w:element="PersonName">
        <w:smartTagPr>
          <w:attr w:name="ProductID" w:val="de rating van beide"/>
        </w:smartTagPr>
        <w:r>
          <w:rPr>
            <w:sz w:val="23"/>
          </w:rPr>
          <w:t>de rating van beide</w:t>
        </w:r>
      </w:smartTag>
      <w:r>
        <w:rPr>
          <w:sz w:val="23"/>
        </w:rPr>
        <w:t xml:space="preserve"> spelers/</w:t>
      </w:r>
      <w:proofErr w:type="spellStart"/>
      <w:r>
        <w:rPr>
          <w:sz w:val="23"/>
        </w:rPr>
        <w:t>sters</w:t>
      </w:r>
      <w:proofErr w:type="spellEnd"/>
      <w:r>
        <w:rPr>
          <w:sz w:val="23"/>
        </w:rPr>
        <w:t>, begint met bijvoorbeeld een 16-0 voorsprong.</w:t>
      </w:r>
    </w:p>
    <w:p w:rsidR="00BF6658" w:rsidRDefault="00BF6658" w:rsidP="00BF6658">
      <w:pPr>
        <w:rPr>
          <w:sz w:val="23"/>
        </w:rPr>
      </w:pPr>
    </w:p>
    <w:p w:rsidR="00BF6658" w:rsidRDefault="00BF6658" w:rsidP="00BF6658">
      <w:pPr>
        <w:rPr>
          <w:sz w:val="23"/>
        </w:rPr>
      </w:pPr>
      <w:r>
        <w:rPr>
          <w:sz w:val="23"/>
        </w:rPr>
        <w:t xml:space="preserve">Wil je aan deze bekercompetitie meedoen? Formeer dan met je teamgenoten en/of spelers en speelsters van andere teams een bekerteam. Vul vervolgens onderstaand inschrijfformulier in en Mail het aan </w:t>
      </w:r>
      <w:hyperlink r:id="rId6" w:history="1">
        <w:r>
          <w:rPr>
            <w:rStyle w:val="Hyperlink"/>
            <w:sz w:val="23"/>
          </w:rPr>
          <w:t>Bert van Schaik</w:t>
        </w:r>
      </w:hyperlink>
      <w:r>
        <w:rPr>
          <w:sz w:val="23"/>
        </w:rPr>
        <w:t xml:space="preserve"> (hjcvscha@zonnet.nl). </w:t>
      </w:r>
    </w:p>
    <w:p w:rsidR="00BF6658" w:rsidRDefault="00BF6658" w:rsidP="00BF6658">
      <w:pPr>
        <w:rPr>
          <w:sz w:val="23"/>
        </w:rPr>
      </w:pPr>
    </w:p>
    <w:p w:rsidR="00BF6658" w:rsidRDefault="00BF6658" w:rsidP="00BF6658">
      <w:pPr>
        <w:rPr>
          <w:sz w:val="23"/>
        </w:rPr>
      </w:pPr>
      <w:r>
        <w:rPr>
          <w:sz w:val="23"/>
        </w:rPr>
        <w:t>De informatie over de bekerwedstrijden wordt via email verstrekt. Geef dus liefst van alle spelers ook de emailadressen op.</w:t>
      </w:r>
    </w:p>
    <w:p w:rsidR="00BF6658" w:rsidRDefault="00BF6658" w:rsidP="00BF6658">
      <w:pPr>
        <w:pStyle w:val="Kop2"/>
        <w:rPr>
          <w:sz w:val="23"/>
        </w:rPr>
      </w:pPr>
    </w:p>
    <w:p w:rsidR="00BF6658" w:rsidRDefault="00BF6658" w:rsidP="00BF6658">
      <w:pPr>
        <w:pStyle w:val="Kop2"/>
        <w:rPr>
          <w:sz w:val="23"/>
        </w:rPr>
      </w:pPr>
      <w:r>
        <w:rPr>
          <w:sz w:val="23"/>
        </w:rPr>
        <w:t>Kortom:</w:t>
      </w:r>
      <w:r>
        <w:rPr>
          <w:sz w:val="23"/>
        </w:rPr>
        <w:tab/>
        <w:t>De bekercompetitie is een prettige verlenging van het tafeltennisseizoen</w:t>
      </w:r>
    </w:p>
    <w:p w:rsidR="00BF6658" w:rsidRDefault="00BF6658" w:rsidP="00BF6658">
      <w:pPr>
        <w:ind w:left="1410"/>
        <w:rPr>
          <w:b/>
          <w:sz w:val="23"/>
        </w:rPr>
      </w:pPr>
      <w:r>
        <w:rPr>
          <w:b/>
          <w:sz w:val="23"/>
        </w:rPr>
        <w:t xml:space="preserve">voor de </w:t>
      </w:r>
      <w:proofErr w:type="spellStart"/>
      <w:r>
        <w:rPr>
          <w:b/>
          <w:sz w:val="23"/>
        </w:rPr>
        <w:t>competitiespelende</w:t>
      </w:r>
      <w:proofErr w:type="spellEnd"/>
      <w:r>
        <w:rPr>
          <w:b/>
          <w:sz w:val="23"/>
        </w:rPr>
        <w:t xml:space="preserve"> leden van VTV en daarnaast ook goed voor onze vereniging want dit betekent verlenging van de barinkomsten.</w:t>
      </w:r>
    </w:p>
    <w:p w:rsidR="00BF6658" w:rsidRDefault="00BF6658" w:rsidP="00BF6658">
      <w:pP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303"/>
        <w:gridCol w:w="2303"/>
      </w:tblGrid>
      <w:tr w:rsidR="00BF6658" w:rsidTr="00BB053C">
        <w:tblPrEx>
          <w:tblCellMar>
            <w:top w:w="0" w:type="dxa"/>
            <w:bottom w:w="0" w:type="dxa"/>
          </w:tblCellMar>
        </w:tblPrEx>
        <w:trPr>
          <w:cantSplit/>
        </w:trPr>
        <w:tc>
          <w:tcPr>
            <w:tcW w:w="4606" w:type="dxa"/>
          </w:tcPr>
          <w:p w:rsidR="00BF6658" w:rsidRDefault="00BF6658" w:rsidP="00BB053C">
            <w:pPr>
              <w:pStyle w:val="Kop2"/>
            </w:pPr>
            <w:r>
              <w:t>Naam</w:t>
            </w:r>
          </w:p>
        </w:tc>
        <w:tc>
          <w:tcPr>
            <w:tcW w:w="2303" w:type="dxa"/>
          </w:tcPr>
          <w:p w:rsidR="00BF6658" w:rsidRDefault="00BF6658" w:rsidP="00BB053C">
            <w:pPr>
              <w:rPr>
                <w:b/>
              </w:rPr>
            </w:pPr>
            <w:r>
              <w:rPr>
                <w:b/>
              </w:rPr>
              <w:t>Bondsnummer</w:t>
            </w:r>
          </w:p>
        </w:tc>
        <w:tc>
          <w:tcPr>
            <w:tcW w:w="2303" w:type="dxa"/>
          </w:tcPr>
          <w:p w:rsidR="00BF6658" w:rsidRDefault="00BF6658" w:rsidP="00BB053C">
            <w:pPr>
              <w:rPr>
                <w:b/>
              </w:rPr>
            </w:pPr>
            <w:r>
              <w:rPr>
                <w:b/>
              </w:rPr>
              <w:t>Vereniging</w:t>
            </w:r>
          </w:p>
        </w:tc>
      </w:tr>
      <w:tr w:rsidR="00BF6658" w:rsidTr="00BB053C">
        <w:tblPrEx>
          <w:tblCellMar>
            <w:top w:w="0" w:type="dxa"/>
            <w:bottom w:w="0" w:type="dxa"/>
          </w:tblCellMar>
        </w:tblPrEx>
        <w:trPr>
          <w:cantSplit/>
          <w:trHeight w:hRule="exact" w:val="360"/>
        </w:trPr>
        <w:tc>
          <w:tcPr>
            <w:tcW w:w="4606" w:type="dxa"/>
          </w:tcPr>
          <w:p w:rsidR="00BF6658" w:rsidRDefault="00BF6658" w:rsidP="00BF6658">
            <w:pPr>
              <w:numPr>
                <w:ilvl w:val="0"/>
                <w:numId w:val="2"/>
              </w:numPr>
              <w:rPr>
                <w:b/>
              </w:rPr>
            </w:pPr>
          </w:p>
        </w:tc>
        <w:tc>
          <w:tcPr>
            <w:tcW w:w="2303" w:type="dxa"/>
          </w:tcPr>
          <w:p w:rsidR="00BF6658" w:rsidRDefault="00BF6658" w:rsidP="00BB053C">
            <w:pPr>
              <w:rPr>
                <w:b/>
              </w:rPr>
            </w:pPr>
          </w:p>
        </w:tc>
        <w:tc>
          <w:tcPr>
            <w:tcW w:w="2303" w:type="dxa"/>
          </w:tcPr>
          <w:p w:rsidR="00BF6658" w:rsidRDefault="00BF6658" w:rsidP="00BB053C">
            <w:pPr>
              <w:rPr>
                <w:b/>
              </w:rPr>
            </w:pPr>
          </w:p>
        </w:tc>
      </w:tr>
      <w:tr w:rsidR="00BF6658" w:rsidTr="00BB053C">
        <w:tblPrEx>
          <w:tblCellMar>
            <w:top w:w="0" w:type="dxa"/>
            <w:bottom w:w="0" w:type="dxa"/>
          </w:tblCellMar>
        </w:tblPrEx>
        <w:trPr>
          <w:cantSplit/>
          <w:trHeight w:hRule="exact" w:val="360"/>
        </w:trPr>
        <w:tc>
          <w:tcPr>
            <w:tcW w:w="4606" w:type="dxa"/>
          </w:tcPr>
          <w:p w:rsidR="00BF6658" w:rsidRDefault="00BF6658" w:rsidP="00BF6658">
            <w:pPr>
              <w:numPr>
                <w:ilvl w:val="0"/>
                <w:numId w:val="2"/>
              </w:numPr>
              <w:rPr>
                <w:b/>
              </w:rPr>
            </w:pPr>
          </w:p>
        </w:tc>
        <w:tc>
          <w:tcPr>
            <w:tcW w:w="2303" w:type="dxa"/>
          </w:tcPr>
          <w:p w:rsidR="00BF6658" w:rsidRDefault="00BF6658" w:rsidP="00BB053C">
            <w:pPr>
              <w:rPr>
                <w:b/>
              </w:rPr>
            </w:pPr>
          </w:p>
        </w:tc>
        <w:tc>
          <w:tcPr>
            <w:tcW w:w="2303" w:type="dxa"/>
          </w:tcPr>
          <w:p w:rsidR="00BF6658" w:rsidRDefault="00BF6658" w:rsidP="00BB053C">
            <w:pPr>
              <w:rPr>
                <w:b/>
              </w:rPr>
            </w:pPr>
          </w:p>
        </w:tc>
      </w:tr>
      <w:tr w:rsidR="00BF6658" w:rsidTr="00BB053C">
        <w:tblPrEx>
          <w:tblCellMar>
            <w:top w:w="0" w:type="dxa"/>
            <w:bottom w:w="0" w:type="dxa"/>
          </w:tblCellMar>
        </w:tblPrEx>
        <w:trPr>
          <w:cantSplit/>
          <w:trHeight w:hRule="exact" w:val="360"/>
        </w:trPr>
        <w:tc>
          <w:tcPr>
            <w:tcW w:w="4606" w:type="dxa"/>
          </w:tcPr>
          <w:p w:rsidR="00BF6658" w:rsidRDefault="00BF6658" w:rsidP="00BF6658">
            <w:pPr>
              <w:numPr>
                <w:ilvl w:val="0"/>
                <w:numId w:val="2"/>
              </w:numPr>
              <w:rPr>
                <w:b/>
              </w:rPr>
            </w:pPr>
          </w:p>
        </w:tc>
        <w:tc>
          <w:tcPr>
            <w:tcW w:w="2303" w:type="dxa"/>
          </w:tcPr>
          <w:p w:rsidR="00BF6658" w:rsidRDefault="00BF6658" w:rsidP="00BB053C">
            <w:pPr>
              <w:rPr>
                <w:b/>
              </w:rPr>
            </w:pPr>
          </w:p>
        </w:tc>
        <w:tc>
          <w:tcPr>
            <w:tcW w:w="2303" w:type="dxa"/>
          </w:tcPr>
          <w:p w:rsidR="00BF6658" w:rsidRDefault="00BF6658" w:rsidP="00BB053C">
            <w:pPr>
              <w:rPr>
                <w:b/>
              </w:rPr>
            </w:pPr>
          </w:p>
        </w:tc>
      </w:tr>
      <w:tr w:rsidR="00BF6658" w:rsidTr="00BB053C">
        <w:tblPrEx>
          <w:tblCellMar>
            <w:top w:w="0" w:type="dxa"/>
            <w:bottom w:w="0" w:type="dxa"/>
          </w:tblCellMar>
        </w:tblPrEx>
        <w:trPr>
          <w:cantSplit/>
          <w:trHeight w:hRule="exact" w:val="360"/>
        </w:trPr>
        <w:tc>
          <w:tcPr>
            <w:tcW w:w="4606" w:type="dxa"/>
          </w:tcPr>
          <w:p w:rsidR="00BF6658" w:rsidRDefault="00BF6658" w:rsidP="00BF6658">
            <w:pPr>
              <w:numPr>
                <w:ilvl w:val="0"/>
                <w:numId w:val="2"/>
              </w:numPr>
              <w:rPr>
                <w:b/>
              </w:rPr>
            </w:pPr>
          </w:p>
        </w:tc>
        <w:tc>
          <w:tcPr>
            <w:tcW w:w="2303" w:type="dxa"/>
          </w:tcPr>
          <w:p w:rsidR="00BF6658" w:rsidRDefault="00BF6658" w:rsidP="00BB053C">
            <w:pPr>
              <w:rPr>
                <w:b/>
              </w:rPr>
            </w:pPr>
          </w:p>
        </w:tc>
        <w:tc>
          <w:tcPr>
            <w:tcW w:w="2303" w:type="dxa"/>
          </w:tcPr>
          <w:p w:rsidR="00BF6658" w:rsidRDefault="00BF6658" w:rsidP="00BB053C">
            <w:pPr>
              <w:rPr>
                <w:b/>
              </w:rPr>
            </w:pPr>
          </w:p>
        </w:tc>
      </w:tr>
      <w:tr w:rsidR="00BF6658" w:rsidTr="00BB053C">
        <w:tblPrEx>
          <w:tblCellMar>
            <w:top w:w="0" w:type="dxa"/>
            <w:bottom w:w="0" w:type="dxa"/>
          </w:tblCellMar>
        </w:tblPrEx>
        <w:trPr>
          <w:cantSplit/>
          <w:trHeight w:hRule="exact" w:val="360"/>
        </w:trPr>
        <w:tc>
          <w:tcPr>
            <w:tcW w:w="4606" w:type="dxa"/>
          </w:tcPr>
          <w:p w:rsidR="00BF6658" w:rsidRDefault="00BF6658" w:rsidP="00BF6658">
            <w:pPr>
              <w:numPr>
                <w:ilvl w:val="0"/>
                <w:numId w:val="2"/>
              </w:numPr>
              <w:rPr>
                <w:b/>
              </w:rPr>
            </w:pPr>
          </w:p>
        </w:tc>
        <w:tc>
          <w:tcPr>
            <w:tcW w:w="2303" w:type="dxa"/>
          </w:tcPr>
          <w:p w:rsidR="00BF6658" w:rsidRDefault="00BF6658" w:rsidP="00BB053C">
            <w:pPr>
              <w:rPr>
                <w:b/>
              </w:rPr>
            </w:pPr>
          </w:p>
        </w:tc>
        <w:tc>
          <w:tcPr>
            <w:tcW w:w="2303" w:type="dxa"/>
          </w:tcPr>
          <w:p w:rsidR="00BF6658" w:rsidRDefault="00BF6658" w:rsidP="00BB053C">
            <w:pPr>
              <w:rPr>
                <w:b/>
              </w:rPr>
            </w:pPr>
          </w:p>
        </w:tc>
      </w:tr>
      <w:tr w:rsidR="00BF6658" w:rsidTr="00BB053C">
        <w:tblPrEx>
          <w:tblCellMar>
            <w:top w:w="0" w:type="dxa"/>
            <w:bottom w:w="0" w:type="dxa"/>
          </w:tblCellMar>
        </w:tblPrEx>
        <w:trPr>
          <w:cantSplit/>
          <w:trHeight w:hRule="exact" w:val="360"/>
        </w:trPr>
        <w:tc>
          <w:tcPr>
            <w:tcW w:w="4606" w:type="dxa"/>
          </w:tcPr>
          <w:p w:rsidR="00BF6658" w:rsidRDefault="00BF6658" w:rsidP="00BF6658">
            <w:pPr>
              <w:numPr>
                <w:ilvl w:val="0"/>
                <w:numId w:val="2"/>
              </w:numPr>
              <w:rPr>
                <w:b/>
              </w:rPr>
            </w:pPr>
          </w:p>
        </w:tc>
        <w:tc>
          <w:tcPr>
            <w:tcW w:w="2303" w:type="dxa"/>
          </w:tcPr>
          <w:p w:rsidR="00BF6658" w:rsidRDefault="00BF6658" w:rsidP="00BB053C">
            <w:pPr>
              <w:rPr>
                <w:b/>
              </w:rPr>
            </w:pPr>
          </w:p>
        </w:tc>
        <w:tc>
          <w:tcPr>
            <w:tcW w:w="2303" w:type="dxa"/>
          </w:tcPr>
          <w:p w:rsidR="00BF6658" w:rsidRDefault="00BF6658" w:rsidP="00BB053C">
            <w:pPr>
              <w:rPr>
                <w:b/>
              </w:rPr>
            </w:pPr>
          </w:p>
        </w:tc>
      </w:tr>
      <w:tr w:rsidR="00BF6658" w:rsidTr="00BB053C">
        <w:tblPrEx>
          <w:tblCellMar>
            <w:top w:w="0" w:type="dxa"/>
            <w:bottom w:w="0" w:type="dxa"/>
          </w:tblCellMar>
        </w:tblPrEx>
        <w:trPr>
          <w:cantSplit/>
          <w:trHeight w:hRule="exact" w:val="360"/>
        </w:trPr>
        <w:tc>
          <w:tcPr>
            <w:tcW w:w="4606" w:type="dxa"/>
          </w:tcPr>
          <w:p w:rsidR="00BF6658" w:rsidRDefault="00BF6658" w:rsidP="00BF6658">
            <w:pPr>
              <w:numPr>
                <w:ilvl w:val="0"/>
                <w:numId w:val="2"/>
              </w:numPr>
              <w:rPr>
                <w:b/>
              </w:rPr>
            </w:pPr>
          </w:p>
        </w:tc>
        <w:tc>
          <w:tcPr>
            <w:tcW w:w="2303" w:type="dxa"/>
          </w:tcPr>
          <w:p w:rsidR="00BF6658" w:rsidRDefault="00BF6658" w:rsidP="00BB053C">
            <w:pPr>
              <w:rPr>
                <w:b/>
              </w:rPr>
            </w:pPr>
          </w:p>
        </w:tc>
        <w:tc>
          <w:tcPr>
            <w:tcW w:w="2303" w:type="dxa"/>
          </w:tcPr>
          <w:p w:rsidR="00BF6658" w:rsidRDefault="00BF6658" w:rsidP="00BB053C">
            <w:pPr>
              <w:rPr>
                <w:b/>
              </w:rPr>
            </w:pPr>
          </w:p>
        </w:tc>
      </w:tr>
      <w:tr w:rsidR="00BF6658" w:rsidTr="00BB053C">
        <w:tblPrEx>
          <w:tblCellMar>
            <w:top w:w="0" w:type="dxa"/>
            <w:bottom w:w="0" w:type="dxa"/>
          </w:tblCellMar>
        </w:tblPrEx>
        <w:trPr>
          <w:cantSplit/>
          <w:trHeight w:hRule="exact" w:val="360"/>
        </w:trPr>
        <w:tc>
          <w:tcPr>
            <w:tcW w:w="4606" w:type="dxa"/>
          </w:tcPr>
          <w:p w:rsidR="00BF6658" w:rsidRDefault="00BF6658" w:rsidP="00BB053C">
            <w:pPr>
              <w:rPr>
                <w:b/>
              </w:rPr>
            </w:pPr>
            <w:r>
              <w:rPr>
                <w:b/>
              </w:rPr>
              <w:t>Speelavond thuiswedstrijden:</w:t>
            </w:r>
          </w:p>
        </w:tc>
        <w:tc>
          <w:tcPr>
            <w:tcW w:w="2303" w:type="dxa"/>
          </w:tcPr>
          <w:p w:rsidR="00BF6658" w:rsidRDefault="00BF6658" w:rsidP="00BB053C">
            <w:pPr>
              <w:rPr>
                <w:b/>
              </w:rPr>
            </w:pPr>
          </w:p>
        </w:tc>
        <w:tc>
          <w:tcPr>
            <w:tcW w:w="2303" w:type="dxa"/>
          </w:tcPr>
          <w:p w:rsidR="00BF6658" w:rsidRDefault="00BF6658" w:rsidP="00BB053C">
            <w:pPr>
              <w:rPr>
                <w:b/>
              </w:rPr>
            </w:pPr>
          </w:p>
        </w:tc>
      </w:tr>
    </w:tbl>
    <w:p w:rsidR="00BF6658" w:rsidRDefault="00BF6658" w:rsidP="00BF665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F6658" w:rsidTr="00BB053C">
        <w:tblPrEx>
          <w:tblCellMar>
            <w:top w:w="0" w:type="dxa"/>
            <w:bottom w:w="0" w:type="dxa"/>
          </w:tblCellMar>
        </w:tblPrEx>
        <w:tc>
          <w:tcPr>
            <w:tcW w:w="9212" w:type="dxa"/>
          </w:tcPr>
          <w:p w:rsidR="00BF6658" w:rsidRDefault="00BF6658" w:rsidP="00BB053C">
            <w:pPr>
              <w:rPr>
                <w:b/>
              </w:rPr>
            </w:pPr>
            <w:r>
              <w:rPr>
                <w:b/>
              </w:rPr>
              <w:t>Emailadressen</w:t>
            </w:r>
          </w:p>
        </w:tc>
      </w:tr>
      <w:tr w:rsidR="00BF6658" w:rsidTr="00BB053C">
        <w:tblPrEx>
          <w:tblCellMar>
            <w:top w:w="0" w:type="dxa"/>
            <w:bottom w:w="0" w:type="dxa"/>
          </w:tblCellMar>
        </w:tblPrEx>
        <w:trPr>
          <w:trHeight w:hRule="exact" w:val="360"/>
        </w:trPr>
        <w:tc>
          <w:tcPr>
            <w:tcW w:w="9212" w:type="dxa"/>
          </w:tcPr>
          <w:p w:rsidR="00BF6658" w:rsidRDefault="00BF6658" w:rsidP="00BF6658">
            <w:pPr>
              <w:numPr>
                <w:ilvl w:val="0"/>
                <w:numId w:val="1"/>
              </w:numPr>
              <w:rPr>
                <w:b/>
              </w:rPr>
            </w:pPr>
          </w:p>
        </w:tc>
      </w:tr>
      <w:tr w:rsidR="00BF6658" w:rsidTr="00BB053C">
        <w:tblPrEx>
          <w:tblCellMar>
            <w:top w:w="0" w:type="dxa"/>
            <w:bottom w:w="0" w:type="dxa"/>
          </w:tblCellMar>
        </w:tblPrEx>
        <w:trPr>
          <w:trHeight w:hRule="exact" w:val="360"/>
        </w:trPr>
        <w:tc>
          <w:tcPr>
            <w:tcW w:w="9212" w:type="dxa"/>
          </w:tcPr>
          <w:p w:rsidR="00BF6658" w:rsidRDefault="00BF6658" w:rsidP="00BF6658">
            <w:pPr>
              <w:numPr>
                <w:ilvl w:val="0"/>
                <w:numId w:val="1"/>
              </w:numPr>
              <w:rPr>
                <w:b/>
              </w:rPr>
            </w:pPr>
          </w:p>
        </w:tc>
      </w:tr>
      <w:tr w:rsidR="00BF6658" w:rsidTr="00BB053C">
        <w:tblPrEx>
          <w:tblCellMar>
            <w:top w:w="0" w:type="dxa"/>
            <w:bottom w:w="0" w:type="dxa"/>
          </w:tblCellMar>
        </w:tblPrEx>
        <w:trPr>
          <w:trHeight w:hRule="exact" w:val="360"/>
        </w:trPr>
        <w:tc>
          <w:tcPr>
            <w:tcW w:w="9212" w:type="dxa"/>
          </w:tcPr>
          <w:p w:rsidR="00BF6658" w:rsidRDefault="00BF6658" w:rsidP="00BF6658">
            <w:pPr>
              <w:numPr>
                <w:ilvl w:val="0"/>
                <w:numId w:val="1"/>
              </w:numPr>
              <w:rPr>
                <w:b/>
              </w:rPr>
            </w:pPr>
          </w:p>
        </w:tc>
      </w:tr>
      <w:tr w:rsidR="00BF6658" w:rsidTr="00BB053C">
        <w:tblPrEx>
          <w:tblCellMar>
            <w:top w:w="0" w:type="dxa"/>
            <w:bottom w:w="0" w:type="dxa"/>
          </w:tblCellMar>
        </w:tblPrEx>
        <w:trPr>
          <w:trHeight w:hRule="exact" w:val="360"/>
        </w:trPr>
        <w:tc>
          <w:tcPr>
            <w:tcW w:w="9212" w:type="dxa"/>
          </w:tcPr>
          <w:p w:rsidR="00BF6658" w:rsidRDefault="00BF6658" w:rsidP="00BF6658">
            <w:pPr>
              <w:numPr>
                <w:ilvl w:val="0"/>
                <w:numId w:val="1"/>
              </w:numPr>
              <w:rPr>
                <w:b/>
              </w:rPr>
            </w:pPr>
          </w:p>
        </w:tc>
      </w:tr>
      <w:tr w:rsidR="00BF6658" w:rsidTr="00BB053C">
        <w:tblPrEx>
          <w:tblCellMar>
            <w:top w:w="0" w:type="dxa"/>
            <w:bottom w:w="0" w:type="dxa"/>
          </w:tblCellMar>
        </w:tblPrEx>
        <w:trPr>
          <w:trHeight w:hRule="exact" w:val="360"/>
        </w:trPr>
        <w:tc>
          <w:tcPr>
            <w:tcW w:w="9212" w:type="dxa"/>
          </w:tcPr>
          <w:p w:rsidR="00BF6658" w:rsidRDefault="00BF6658" w:rsidP="00BF6658">
            <w:pPr>
              <w:numPr>
                <w:ilvl w:val="0"/>
                <w:numId w:val="1"/>
              </w:numPr>
              <w:rPr>
                <w:b/>
              </w:rPr>
            </w:pPr>
          </w:p>
        </w:tc>
      </w:tr>
      <w:tr w:rsidR="00BF6658" w:rsidTr="00BB053C">
        <w:tblPrEx>
          <w:tblCellMar>
            <w:top w:w="0" w:type="dxa"/>
            <w:bottom w:w="0" w:type="dxa"/>
          </w:tblCellMar>
        </w:tblPrEx>
        <w:trPr>
          <w:trHeight w:hRule="exact" w:val="360"/>
        </w:trPr>
        <w:tc>
          <w:tcPr>
            <w:tcW w:w="9212" w:type="dxa"/>
          </w:tcPr>
          <w:p w:rsidR="00BF6658" w:rsidRDefault="00BF6658" w:rsidP="00BF6658">
            <w:pPr>
              <w:numPr>
                <w:ilvl w:val="0"/>
                <w:numId w:val="1"/>
              </w:numPr>
              <w:rPr>
                <w:b/>
              </w:rPr>
            </w:pPr>
          </w:p>
        </w:tc>
      </w:tr>
      <w:tr w:rsidR="00BF6658" w:rsidTr="00BB053C">
        <w:tblPrEx>
          <w:tblCellMar>
            <w:top w:w="0" w:type="dxa"/>
            <w:bottom w:w="0" w:type="dxa"/>
          </w:tblCellMar>
        </w:tblPrEx>
        <w:trPr>
          <w:trHeight w:hRule="exact" w:val="360"/>
        </w:trPr>
        <w:tc>
          <w:tcPr>
            <w:tcW w:w="9212" w:type="dxa"/>
          </w:tcPr>
          <w:p w:rsidR="00BF6658" w:rsidRDefault="00BF6658" w:rsidP="00BF6658">
            <w:pPr>
              <w:numPr>
                <w:ilvl w:val="0"/>
                <w:numId w:val="1"/>
              </w:numPr>
              <w:rPr>
                <w:b/>
              </w:rPr>
            </w:pPr>
          </w:p>
        </w:tc>
      </w:tr>
    </w:tbl>
    <w:p w:rsidR="00BF6658" w:rsidRDefault="00BF6658" w:rsidP="00BF6658">
      <w:pPr>
        <w:rPr>
          <w:b/>
        </w:rPr>
      </w:pPr>
    </w:p>
    <w:p w:rsidR="00BF6658" w:rsidRDefault="00BF6658" w:rsidP="00BF6658">
      <w:pPr>
        <w:pStyle w:val="Plattetekst"/>
      </w:pPr>
      <w:r>
        <w:t xml:space="preserve">NB: de inschrijving sluit op vrijdag </w:t>
      </w:r>
      <w:r w:rsidR="00F0022D">
        <w:t>19</w:t>
      </w:r>
      <w:bookmarkStart w:id="0" w:name="_GoBack"/>
      <w:bookmarkEnd w:id="0"/>
      <w:r>
        <w:t xml:space="preserve"> april.</w:t>
      </w:r>
    </w:p>
    <w:p w:rsidR="002A61E1" w:rsidRDefault="00F0022D"/>
    <w:sectPr w:rsidR="002A61E1" w:rsidSect="007408A2">
      <w:pgSz w:w="11906" w:h="16838" w:code="9"/>
      <w:pgMar w:top="567" w:right="1134" w:bottom="567" w:left="1418" w:header="0" w:footer="0"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716C"/>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41356051"/>
    <w:multiLevelType w:val="singleLevel"/>
    <w:tmpl w:val="0413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58"/>
    <w:rsid w:val="00404408"/>
    <w:rsid w:val="00592D63"/>
    <w:rsid w:val="00751EBC"/>
    <w:rsid w:val="00935BAB"/>
    <w:rsid w:val="00BA1B87"/>
    <w:rsid w:val="00BF6658"/>
    <w:rsid w:val="00F00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4C656B"/>
  <w15:chartTrackingRefBased/>
  <w15:docId w15:val="{B35D59D6-4D09-44E3-A028-0E134B09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F665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BF6658"/>
    <w:pPr>
      <w:keepNext/>
      <w:outlineLvl w:val="0"/>
    </w:pPr>
    <w:rPr>
      <w:b/>
      <w:bCs/>
      <w:sz w:val="32"/>
      <w:u w:val="single"/>
    </w:rPr>
  </w:style>
  <w:style w:type="paragraph" w:styleId="Kop2">
    <w:name w:val="heading 2"/>
    <w:basedOn w:val="Standaard"/>
    <w:next w:val="Standaard"/>
    <w:link w:val="Kop2Char"/>
    <w:qFormat/>
    <w:rsid w:val="00BF6658"/>
    <w:pPr>
      <w:keepNext/>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F6658"/>
    <w:rPr>
      <w:rFonts w:ascii="Times New Roman" w:eastAsia="Times New Roman" w:hAnsi="Times New Roman" w:cs="Times New Roman"/>
      <w:b/>
      <w:bCs/>
      <w:sz w:val="32"/>
      <w:szCs w:val="24"/>
      <w:u w:val="single"/>
      <w:lang w:eastAsia="nl-NL"/>
    </w:rPr>
  </w:style>
  <w:style w:type="character" w:customStyle="1" w:styleId="Kop2Char">
    <w:name w:val="Kop 2 Char"/>
    <w:basedOn w:val="Standaardalinea-lettertype"/>
    <w:link w:val="Kop2"/>
    <w:rsid w:val="00BF6658"/>
    <w:rPr>
      <w:rFonts w:ascii="Times New Roman" w:eastAsia="Times New Roman" w:hAnsi="Times New Roman" w:cs="Times New Roman"/>
      <w:b/>
      <w:bCs/>
      <w:sz w:val="24"/>
      <w:szCs w:val="24"/>
      <w:lang w:eastAsia="nl-NL"/>
    </w:rPr>
  </w:style>
  <w:style w:type="paragraph" w:styleId="Plattetekst">
    <w:name w:val="Body Text"/>
    <w:basedOn w:val="Standaard"/>
    <w:link w:val="PlattetekstChar"/>
    <w:rsid w:val="00BF6658"/>
    <w:rPr>
      <w:b/>
      <w:sz w:val="23"/>
    </w:rPr>
  </w:style>
  <w:style w:type="character" w:customStyle="1" w:styleId="PlattetekstChar">
    <w:name w:val="Platte tekst Char"/>
    <w:basedOn w:val="Standaardalinea-lettertype"/>
    <w:link w:val="Plattetekst"/>
    <w:rsid w:val="00BF6658"/>
    <w:rPr>
      <w:rFonts w:ascii="Times New Roman" w:eastAsia="Times New Roman" w:hAnsi="Times New Roman" w:cs="Times New Roman"/>
      <w:b/>
      <w:sz w:val="23"/>
      <w:szCs w:val="24"/>
      <w:lang w:eastAsia="nl-NL"/>
    </w:rPr>
  </w:style>
  <w:style w:type="character" w:styleId="Hyperlink">
    <w:name w:val="Hyperlink"/>
    <w:rsid w:val="00BF6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jcvscha@zonnet.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Schaik H.J.C. van (Bert)</dc:creator>
  <cp:keywords/>
  <dc:description/>
  <cp:lastModifiedBy>Schaik H.J.C. van (Bert)</cp:lastModifiedBy>
  <cp:revision>1</cp:revision>
  <dcterms:created xsi:type="dcterms:W3CDTF">2019-03-04T10:41:00Z</dcterms:created>
  <dcterms:modified xsi:type="dcterms:W3CDTF">2019-03-04T11:57:00Z</dcterms:modified>
</cp:coreProperties>
</file>